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0" w:afterLines="0" w:line="180" w:lineRule="atLeast"/>
        <w:jc w:val="center"/>
        <w:rPr>
          <w:rFonts w:hint="default" w:eastAsia="Times New Roman"/>
          <w:b/>
          <w:sz w:val="24"/>
          <w:szCs w:val="24"/>
        </w:rPr>
      </w:pPr>
      <w:bookmarkStart w:id="0" w:name="_GoBack"/>
      <w:r>
        <w:rPr>
          <w:rFonts w:hint="eastAsia"/>
          <w:b/>
          <w:sz w:val="24"/>
          <w:szCs w:val="24"/>
        </w:rPr>
        <w:t>电力企业专项应急预案编制导则</w:t>
      </w:r>
    </w:p>
    <w:bookmarkEnd w:id="0"/>
    <w:p>
      <w:pPr>
        <w:spacing w:beforeLines="0" w:afterLines="0" w:line="180" w:lineRule="atLeast"/>
        <w:rPr>
          <w:rFonts w:hint="default" w:eastAsia="Times New Roman"/>
          <w:sz w:val="21"/>
        </w:rPr>
      </w:pPr>
    </w:p>
    <w:p>
      <w:pPr>
        <w:spacing w:beforeLines="0" w:afterLines="0" w:line="180" w:lineRule="atLeast"/>
        <w:rPr>
          <w:rFonts w:hint="default" w:eastAsia="Times New Roman"/>
          <w:sz w:val="21"/>
        </w:rPr>
      </w:pP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本导则适用于在中华人民共和国境内从事电力规划设计、生产运行、检修试验以及电力建设等业务的电力企业。各电力企业可结合本单位的组织结构、管理模式、生产规模、风险种类、应急能力等特点对专项应急预案框架结构等要素进行适当调整。</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jc w:val="center"/>
        <w:textAlignment w:val="auto"/>
        <w:outlineLvl w:val="9"/>
        <w:rPr>
          <w:rFonts w:hint="eastAsia" w:ascii="宋体" w:hAnsi="宋体"/>
          <w:b/>
          <w:bCs/>
          <w:sz w:val="24"/>
        </w:rPr>
      </w:pPr>
      <w:r>
        <w:rPr>
          <w:rFonts w:hint="eastAsia" w:ascii="宋体" w:hAnsi="宋体"/>
          <w:b/>
          <w:bCs/>
          <w:sz w:val="24"/>
        </w:rPr>
        <w:t>适用范围</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本导则规定了电力企业编制专项应急预案的基本内容和要素等基本要求。</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本导则适用于在中华人民共和国境内从事电力规划设计、生产运行、检修试验以及电力建设等业务的电力企业。各电力企业可结合本单位的组织结构、管理模式、生产规模、风险种类、应急能力等特点对专项应急预案框架结构等要素进行适当调整。</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jc w:val="center"/>
        <w:textAlignment w:val="auto"/>
        <w:outlineLvl w:val="9"/>
        <w:rPr>
          <w:rFonts w:hint="eastAsia" w:ascii="宋体" w:hAnsi="宋体"/>
          <w:b/>
          <w:bCs/>
          <w:sz w:val="24"/>
        </w:rPr>
      </w:pPr>
      <w:r>
        <w:rPr>
          <w:rFonts w:hint="eastAsia" w:ascii="宋体" w:hAnsi="宋体"/>
          <w:b/>
          <w:bCs/>
          <w:sz w:val="24"/>
        </w:rPr>
        <w:t>规范性引用文件</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下列文件中的条款通过本导则的引用而成为本导则的条款。引用文件如有修订或更新，使用本导则的各方应研究使用这些文件的最新有效版本。</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《生产经营单位安全生产事故应急预案编制导则》</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《电力企业综合应急预案编制导则》</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2" w:firstLineChars="200"/>
        <w:jc w:val="center"/>
        <w:textAlignment w:val="auto"/>
        <w:outlineLvl w:val="9"/>
        <w:rPr>
          <w:rFonts w:hint="eastAsia" w:ascii="宋体" w:hAnsi="宋体"/>
          <w:b/>
          <w:bCs/>
          <w:sz w:val="24"/>
          <w:lang w:eastAsia="zh-CN"/>
        </w:rPr>
      </w:pPr>
      <w:r>
        <w:rPr>
          <w:rFonts w:hint="eastAsia" w:ascii="宋体" w:hAnsi="宋体"/>
          <w:b/>
          <w:bCs/>
          <w:sz w:val="24"/>
        </w:rPr>
        <w:t>专项应急预案的编制要求</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 专项应急预案的种类</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电力企业专项应急预案原则上分为自然灾害、事故灾难、公共卫生事件和社会安全事件四大类。</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1.1 自然灾害类</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电力企业应针对可能面临的气象灾害（主要包括雨雪冰冻、强对流天气（含暴雨、雷电、龙卷风等）台风、洪水、大雾）等自然灾害编制自然灾害类专项应急预案。</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1.2 事故灾难类</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电力企业应针对可能发生的人身事故、电网事故、设备事故、网络信息安全事故、火灾事故、交通事故及环境污染事故等各类电力生产事故编制事故灾难类专项应急预案。</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1.3 公共卫生事件类</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电力企业应针对可能发生的传染病疫情、群体性不明原因疾病、食物中毒等突发公共卫生事件编制公共卫生事件类专项应急预案。</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1.4 社会安全事件类</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电力企业应针对可能发生的群体性事件、突发新闻媒体事件等社会安全事件编制社会安全事件类专项应急预案。</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2  编制要求</w:t>
      </w:r>
    </w:p>
    <w:p>
      <w:pPr>
        <w:keepNext w:val="0"/>
        <w:keepLines w:val="0"/>
        <w:pageBreakBefore w:val="0"/>
        <w:widowControl w:val="0"/>
        <w:numPr>
          <w:ilvl w:val="0"/>
          <w:numId w:val="1"/>
        </w:numPr>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自然灾害类专项应急预案的内容应以防范、控制和消除自然灾害影响为主，对由于自然灾害导致的次生或衍生事件应急处置内容应根据事件性质由相应的专项应急预案予以明确。</w:t>
      </w:r>
    </w:p>
    <w:p>
      <w:pPr>
        <w:keepNext w:val="0"/>
        <w:keepLines w:val="0"/>
        <w:pageBreakBefore w:val="0"/>
        <w:widowControl w:val="0"/>
        <w:numPr>
          <w:ilvl w:val="0"/>
          <w:numId w:val="1"/>
        </w:numPr>
        <w:kinsoku/>
        <w:wordWrap/>
        <w:overflowPunct/>
        <w:topLinePunct w:val="0"/>
        <w:autoSpaceDE/>
        <w:autoSpaceDN/>
        <w:bidi w:val="0"/>
        <w:adjustRightInd/>
        <w:snapToGrid/>
        <w:spacing w:beforeLines="0" w:afterLines="0" w:line="360" w:lineRule="auto"/>
        <w:ind w:left="0" w:leftChars="0" w:firstLine="480" w:firstLineChars="200"/>
        <w:textAlignment w:val="auto"/>
        <w:outlineLvl w:val="9"/>
        <w:rPr>
          <w:rFonts w:hint="eastAsia" w:ascii="宋体" w:hAnsi="宋体"/>
          <w:sz w:val="24"/>
        </w:rPr>
      </w:pPr>
      <w:r>
        <w:rPr>
          <w:rFonts w:hint="eastAsia" w:ascii="宋体" w:hAnsi="宋体"/>
          <w:sz w:val="24"/>
        </w:rPr>
        <w:t>事故灾难类专项应急预案中，电网企业在编制电网事故专项应急预案的同时，应根据电网结构特点编制电网黑启动专项应急预案。此外，被列为电网黑启动电源点的发电厂在编制全厂停电事故应急预案的同时，应单独编制发电厂黑启动专项应急预案。</w:t>
      </w:r>
    </w:p>
    <w:p>
      <w:pPr>
        <w:numPr>
          <w:ilvl w:val="0"/>
          <w:numId w:val="1"/>
        </w:numPr>
        <w:spacing w:beforeLines="0" w:afterLines="0" w:line="360" w:lineRule="auto"/>
        <w:ind w:left="0" w:leftChars="0" w:firstLine="480" w:firstLineChars="200"/>
        <w:rPr>
          <w:rFonts w:hint="eastAsia" w:ascii="宋体" w:hAnsi="宋体"/>
          <w:sz w:val="24"/>
        </w:rPr>
      </w:pPr>
      <w:r>
        <w:rPr>
          <w:rFonts w:hint="eastAsia" w:ascii="宋体" w:hAnsi="宋体"/>
          <w:sz w:val="24"/>
        </w:rPr>
        <w:t>公共卫生事件类专项应急预案可以根据事件类别分别编制专项应急预案，也可编成一个综合性的专项应急预案。在综合性的公共卫生事件专项应急预案中，应分别明确各类公共卫生事件的应急处置程序和措施。公共卫生事件类专项应急预案的内容除应符合本导则的基本要求外，还应符合国家相关法律、法规、规章及技术标准要求。</w:t>
      </w:r>
    </w:p>
    <w:p>
      <w:pPr>
        <w:keepNext w:val="0"/>
        <w:keepLines w:val="0"/>
        <w:pageBreakBefore w:val="0"/>
        <w:widowControl w:val="0"/>
        <w:numPr>
          <w:numId w:val="0"/>
        </w:numPr>
        <w:kinsoku/>
        <w:wordWrap/>
        <w:overflowPunct/>
        <w:topLinePunct w:val="0"/>
        <w:autoSpaceDE/>
        <w:autoSpaceDN/>
        <w:bidi w:val="0"/>
        <w:adjustRightInd/>
        <w:snapToGrid/>
        <w:spacing w:beforeLines="0" w:afterLines="0" w:line="360" w:lineRule="auto"/>
        <w:ind w:leftChars="0" w:firstLine="480" w:firstLineChars="200"/>
        <w:textAlignment w:val="auto"/>
        <w:outlineLvl w:val="9"/>
        <w:rPr>
          <w:rFonts w:hint="eastAsia" w:ascii="宋体" w:hAnsi="宋体"/>
          <w:sz w:val="24"/>
        </w:rPr>
      </w:pPr>
      <w:r>
        <w:rPr>
          <w:rFonts w:hint="eastAsia" w:ascii="宋体" w:hAnsi="宋体"/>
          <w:sz w:val="24"/>
        </w:rPr>
        <w:t>（4）社会安全事件类专项应急预案除应符合本导则的基本要求外，还应符合国家制定的相关法律、法规、规章及技术标准要求。</w:t>
      </w:r>
    </w:p>
    <w:p>
      <w:pPr>
        <w:spacing w:beforeLines="0" w:afterLines="0" w:line="360" w:lineRule="auto"/>
        <w:jc w:val="center"/>
        <w:rPr>
          <w:rFonts w:hint="eastAsia" w:ascii="宋体" w:hAnsi="宋体"/>
          <w:b/>
          <w:bCs/>
          <w:sz w:val="24"/>
        </w:rPr>
      </w:pPr>
      <w:r>
        <w:rPr>
          <w:rFonts w:hint="eastAsia" w:ascii="宋体" w:hAnsi="宋体"/>
          <w:b/>
          <w:bCs/>
          <w:sz w:val="24"/>
        </w:rPr>
        <w:t>专项应急预案的主要内容</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  总则</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明确本预案的编制目的、编制依据和适用范围等内容。</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2  应急处置基本原则</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从应急响应、指挥领导、处置措施、与政府的联动、资源调配等方面说明本预案所涉及的突发事件发生后，应急处置工作的指导原则和总体思路，内容应简明扼要。</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3  事件类型和危害程度分析</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（1）分析突发事件风险的来源、特性等。</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（2）明确突发事件可能导致紧急情况的类型、影响范围及后果。</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4  事件分级</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根据突发事件危害程度和影响范围，依照国家有关规定和上级应急预案等，对突发事件进行分级。应针对不同类型的突发事件明确具体事件分级标准。</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5  应急指挥机构及职责</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5.1 应急指挥机构</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（1）明确本预案所涉突发事件的应急指挥机构组成情况。</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（2）指挥机构应设置相应的应急处置工作组，明确各应急处置工作组的设置情况和人员构成情况。</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（3）明确应急指挥平台建设要求。</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5.2 应急指挥机构的职责</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（1）明确应急指挥机构、各应急处置工作组和相关人员的具体职责。</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（2）明确本预案所涉及各有关部门的应急工作职责。</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6  预防与预警</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6.1 风险监测</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专项应急预案针对的突发事件可以实施预警的，需要明确以下内容：</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（1）风险监测的责任部门和人员；</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（2）风险监测的方法和信息收集渠道；</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（3）风险监测所获得信息的报告程序。</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6.2 预警发布与预警行动</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专项应急预案针对的突发事件可以实施预警的，需要明确以下内容：</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（1）根据实际情况进行预警分级；</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（2）明确预警的发布程序和相关要求；</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（3）明确预警发布后的应对程序和措施。</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6.3 预警结束</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明确结束预警状态的条件、程序和方式。</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7  信息报告</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（1）明确本单位24小时应急值班电话。</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（2）明确本预案所涉突发事件发生后，本单位内部和向上级单位进行突发事件信息报告的程序、方式、内容和时限。</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（3）明确本预案所涉突发事件发生后，向政府有关部门、电力监管机构进行突发事件报告的程序、方式、内容和时限。</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8  应急响应</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根据突发事件分级标准，结合企业控制事态和应急处置能力明确具体响应分级标准、应急响应责任主体及联动单位和部门。</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8.2 响应程序</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针对不同级别的响应，分别明确下列内容，并附以流程图:</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（1）应急响应启动条件（应分级列出）；</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（2）响应启动：宣布响应启动的责任者；</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（3）响应行动：包括召开应急会议、派出前线指挥人员、组建现场工作组及其他应急处置工作小组等；</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（4）各有关部门按照响应级别和职责分工开展的应急行动；</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（5）向上级单位、政府有关部门及电力监管机构进行应急工作信息报告的格式、内容、时限和责任部门等。</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8.3 应急处置</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针对事件类别和可能发生的次生事件危险性和特点，明确应急处置措施：</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（1）先期处置：明确突发事件发生后现场人员的即时避险、救治、控制事态发展。隔离危险源等紧急处置措施；</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（2）应急处置：根据事件的级别和发展事态，明确应急指挥、应急行动、资源调配、与社会联动等响应程序；</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（3）扩大应急响应：根据事件的升级，及时提高应急响应级别、改变处置策略。</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8.4 应急结束</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明确下述内容：</w:t>
      </w:r>
    </w:p>
    <w:p>
      <w:pPr>
        <w:keepNext w:val="0"/>
        <w:keepLines w:val="0"/>
        <w:pageBreakBefore w:val="0"/>
        <w:widowControl w:val="0"/>
        <w:numPr>
          <w:ilvl w:val="0"/>
          <w:numId w:val="2"/>
        </w:numPr>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应急结束条件；</w:t>
      </w:r>
    </w:p>
    <w:p>
      <w:pPr>
        <w:keepNext w:val="0"/>
        <w:keepLines w:val="0"/>
        <w:pageBreakBefore w:val="0"/>
        <w:widowControl w:val="0"/>
        <w:numPr>
          <w:numId w:val="0"/>
        </w:numPr>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（2）应急响应结束程序，包括宣布不同级别应急响应结束的责任人、宣布方式等。</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9  后期处置</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明确下述内容：</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（1）后期处置、现场恢复的原则和内容；</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（2）负责保险和理赔的责任部门；</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（3）事故或事件调查的原则、内容、方法和目的；</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（4）对预案及本次应急工作进行总结、评价、改进等内容。</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10 应急保障</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明确本单位应急资源和保障措施（其中部分内容可以附件形式列出）。</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10.1  应急队伍</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明确本预案所涉应急救援队伍、应急专家队伍和社会救援资源的建设、准备和培训要求。</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10.2  应急物资与装备</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明确本预案应急处置所需主要物资、装备的储备地点及重要应急物资供应单位的基本情况和管理要求。</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10.3  通信与信息</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明确与应急相关的政府部门、上级应急指挥机构、系统内外主要应急队伍等机构和单位、人员的通信渠道和手段以及极端条件下保证通信畅通的措施。</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10.4  经费</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明确本预案所需应急专项经费的来源、管理及在应急状态下确保及时到位的保障措施等。</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10.5  其他</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根据实际情况明确应急交通运输保障、安全保障、治安保障、医疗卫生保障、后勤保障及其他保障的具体措施。</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11 培训和演练</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明确本预案培训和演练的范围、方式、内容和周期要求。</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12 附则</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12.1 术语和定义</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对本预案所涉及的一些术语进行定义。</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12.2 预案备案</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明确本预案的报备机构或部门。</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12.3 预案修订</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明确对本预案进行修订的条件、周期及负责部门。</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12.4 制定与解释</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明确负责本预案制定和解释的部门。</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12.5 预案实施</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明确本预案实施的时间。</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13 附件</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专项应急预案包含的主要附件（不限于）如下：</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13.1  有关应急机构或人员联系方式</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（1）应急指挥机构人员和联系方式；</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（2）相关单位、部门、组织机构或人员名称及联系方式。</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13.2  应急救援队伍信息</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（1）应急救援队伍名称及联系方式；</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（2）应急处置专家姓名及联系方式；</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（3）与相关的社会应急救援部门签订的应急支援协议及联系方式。</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13.3  应急物资储备清单</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（1）本预案涉及的重要应急装备和物资的名称、型号、数量、图纸、存放地点和管理人员联系方式等。</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（2）重要应急物资供应单位的生产能力、设备图纸和联系方式等。</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（3） 应急救援通信设施型号、数量、存放点等。</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（4）应急车辆数量及司机联系方式清单。</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13.4  规范化格式文本</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列出应急信息接受、处理和上报等规范化格式文本。</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13.5  关键的路线、标识和图纸</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（1）重要防护目标一览表、分布图。</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 xml:space="preserve">（2）应急指挥位置及应急队伍行动路线、人员疏散路线、重要地点等标识。  </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 xml:space="preserve">（3）相关平面布置图纸、应急力量的分布图纸等。  </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 xml:space="preserve">4.13.6  相关应急预案名录  </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 xml:space="preserve">列出直接与本预案相关或相衔接的应急预案名称。  </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 xml:space="preserve">4.13.7  有关流程  </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 xml:space="preserve">（1）预警信息发布流程。  </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 xml:space="preserve">（2）突发事件信息报告流程。  </w:t>
      </w:r>
    </w:p>
    <w:p>
      <w:pPr>
        <w:keepNext w:val="0"/>
        <w:keepLines w:val="0"/>
        <w:pageBreakBefore w:val="0"/>
        <w:widowControl w:val="0"/>
        <w:kinsoku/>
        <w:wordWrap/>
        <w:overflowPunct/>
        <w:topLinePunct w:val="0"/>
        <w:autoSpaceDE/>
        <w:autoSpaceDN/>
        <w:bidi w:val="0"/>
        <w:adjustRightInd/>
        <w:snapToGrid/>
        <w:spacing w:beforeLines="0" w:afterLines="0" w:line="360" w:lineRule="auto"/>
        <w:ind w:firstLine="480" w:firstLineChars="200"/>
        <w:textAlignment w:val="auto"/>
        <w:outlineLvl w:val="9"/>
        <w:rPr>
          <w:rFonts w:hint="eastAsia" w:ascii="宋体" w:hAnsi="宋体"/>
          <w:sz w:val="24"/>
        </w:rPr>
      </w:pPr>
      <w:r>
        <w:rPr>
          <w:rFonts w:hint="eastAsia" w:ascii="宋体" w:hAnsi="宋体"/>
          <w:sz w:val="24"/>
        </w:rPr>
        <w:t>（3）各级应急响应及处置流程。</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3314548"/>
    <w:multiLevelType w:val="singleLevel"/>
    <w:tmpl w:val="B3314548"/>
    <w:lvl w:ilvl="0" w:tentative="0">
      <w:start w:val="1"/>
      <w:numFmt w:val="decimal"/>
      <w:suff w:val="nothing"/>
      <w:lvlText w:val="（%1）"/>
      <w:lvlJc w:val="left"/>
    </w:lvl>
  </w:abstractNum>
  <w:abstractNum w:abstractNumId="1">
    <w:nsid w:val="03013007"/>
    <w:multiLevelType w:val="singleLevel"/>
    <w:tmpl w:val="03013007"/>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F320CF"/>
    <w:rsid w:val="6D535020"/>
    <w:rsid w:val="7EF320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iPriority="99"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uiPriority w:val="99"/>
    <w:pPr>
      <w:widowControl w:val="0"/>
      <w:spacing w:beforeLines="0" w:afterLines="0"/>
      <w:jc w:val="both"/>
    </w:pPr>
    <w:rPr>
      <w:rFonts w:hint="eastAsia" w:ascii="Times New Roman" w:hAnsi="Times New Roman" w:eastAsia="宋体" w:cs="Times New Roman"/>
      <w:kern w:val="2"/>
      <w:sz w:val="21"/>
      <w:lang w:val="en-US" w:eastAsia="zh-CN"/>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es_1.0.0.3\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32</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2018-06-01T07:00:00Z</dcterms:created>
  <dc:creator>叁拾山河</dc:creator>
  <cp:lastModifiedBy>叁拾山河</cp:lastModifiedBy>
  <dcterms:modified xsi:type="dcterms:W3CDTF">2018-06-01T07:33:13Z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